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Raleway" w:cs="Raleway" w:eastAsia="Raleway" w:hAnsi="Raleway"/>
          <w:color w:val="676767"/>
          <w:sz w:val="24"/>
          <w:szCs w:val="24"/>
        </w:rPr>
      </w:pPr>
      <w:r w:rsidDel="00000000" w:rsidR="00000000" w:rsidRPr="00000000">
        <w:rPr>
          <w:color w:val="676767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color w:val="676767"/>
          <w:sz w:val="24"/>
          <w:szCs w:val="24"/>
        </w:rPr>
        <w:drawing>
          <wp:inline distB="114300" distT="114300" distL="114300" distR="114300">
            <wp:extent cx="2924175" cy="896264"/>
            <wp:effectExtent b="0" l="0" r="0" t="0"/>
            <wp:docPr descr="CPP_logo_rgb.jpg" id="1" name="image1.jpg"/>
            <a:graphic>
              <a:graphicData uri="http://schemas.openxmlformats.org/drawingml/2006/picture">
                <pic:pic>
                  <pic:nvPicPr>
                    <pic:cNvPr descr="CPP_logo_rgb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8962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/>
      </w:pPr>
      <w:bookmarkStart w:colFirst="0" w:colLast="0" w:name="_ah5r13pze129" w:id="0"/>
      <w:bookmarkEnd w:id="0"/>
      <w:r w:rsidDel="00000000" w:rsidR="00000000" w:rsidRPr="00000000">
        <w:rPr>
          <w:rFonts w:ascii="Montserrat" w:cs="Montserrat" w:eastAsia="Montserrat" w:hAnsi="Montserrat"/>
          <w:color w:val="007239"/>
          <w:sz w:val="36"/>
          <w:szCs w:val="36"/>
          <w:rtl w:val="0"/>
        </w:rPr>
        <w:t xml:space="preserve">CPP LEARNING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Fonts w:ascii="Fira Mono" w:cs="Fira Mono" w:eastAsia="Fira Mono" w:hAnsi="Fira Mono"/>
          <w:color w:val="007239"/>
          <w:rtl w:val="0"/>
        </w:rPr>
        <w:t xml:space="preserve">▂▂▂▂▂▂▂▂▂▂▂▂▂▂▂▂▂▂▂▂▂▂▂▂▂▂▂▂▂▂▂▂▂▂▂▂▂▂▂▂▂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bookmarkStart w:colFirst="0" w:colLast="0" w:name="_z60hgj9llko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bookmarkStart w:colFirst="0" w:colLast="0" w:name="_4evjvvghr001" w:id="2"/>
      <w:bookmarkEnd w:id="2"/>
      <w:r w:rsidDel="00000000" w:rsidR="00000000" w:rsidRPr="00000000">
        <w:rPr>
          <w:rtl w:val="0"/>
        </w:rPr>
        <w:t xml:space="preserve">Learning Session 1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90" w:firstLine="0"/>
        <w:rPr/>
      </w:pPr>
      <w:r w:rsidDel="00000000" w:rsidR="00000000" w:rsidRPr="00000000">
        <w:rPr>
          <w:rtl w:val="0"/>
        </w:rPr>
        <w:t xml:space="preserve">Select objectives based on your training emphasis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least four CPP treatment goals/objectives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last three core competencies of CPP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the concept of ghosts in the nursery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the concept of angels in the nursery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at least three ways in which trauma can affect young children’s development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least two domains that therapists typically assess during a CPP assessment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Be able to use a comprehensive trauma screening instrument to screen for child trauma.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least three of the six strands of CPP fidelity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the three phases of CPP treatment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what is meant by emotional process fidelity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the components of the CPP triangle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tl w:val="0"/>
        </w:rPr>
        <w:t xml:space="preserve">Name three ways in which the CPP therapist seeks to build a trauma framework during the course of treatment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the concept of ports of entry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least one situation in which CPP would be contraindicated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  <w:u w:val="none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least two treatment modalities used in CPP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bookmarkStart w:colFirst="0" w:colLast="0" w:name="_4mwuocl7hnu7" w:id="3"/>
      <w:bookmarkEnd w:id="3"/>
      <w:r w:rsidDel="00000000" w:rsidR="00000000" w:rsidRPr="00000000">
        <w:rPr>
          <w:rtl w:val="0"/>
        </w:rPr>
        <w:t xml:space="preserve">Learning Sessions 2 &amp; 3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tl w:val="0"/>
        </w:rPr>
        <w:t xml:space="preserve">Pick goals that match your training content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tl w:val="0"/>
        </w:rPr>
        <w:t xml:space="preserve">Through video clips, guided discussion and case vignettes, the participants will be able to .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at leas</w:t>
      </w:r>
      <w:r w:rsidDel="00000000" w:rsidR="00000000" w:rsidRPr="00000000">
        <w:rPr>
          <w:rtl w:val="0"/>
        </w:rPr>
        <w:t xml:space="preserve">t two fr</w:t>
      </w: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ameworks that </w:t>
      </w:r>
      <w:r w:rsidDel="00000000" w:rsidR="00000000" w:rsidRPr="00000000">
        <w:rPr>
          <w:rtl w:val="0"/>
        </w:rPr>
        <w:t xml:space="preserve">can be </w:t>
      </w: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used </w:t>
      </w:r>
      <w:r w:rsidDel="00000000" w:rsidR="00000000" w:rsidRPr="00000000">
        <w:rPr>
          <w:rtl w:val="0"/>
        </w:rPr>
        <w:t xml:space="preserve">to </w:t>
      </w: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strengthen </w:t>
      </w:r>
      <w:r w:rsidDel="00000000" w:rsidR="00000000" w:rsidRPr="00000000">
        <w:rPr>
          <w:rtl w:val="0"/>
        </w:rPr>
        <w:t xml:space="preserve">our</w:t>
      </w: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 socio-cultural lens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u w:val="none"/>
        </w:rPr>
      </w:pPr>
      <w:r w:rsidDel="00000000" w:rsidR="00000000" w:rsidRPr="00000000">
        <w:rPr>
          <w:rtl w:val="0"/>
        </w:rPr>
        <w:t xml:space="preserve">Name at least two agreements of courageous conversations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tl w:val="0"/>
        </w:rPr>
        <w:t xml:space="preserve">Name at least three ways in which they will incorporate self-care into their regular practice (for themselves or for those they supervise)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tl w:val="0"/>
        </w:rPr>
        <w:t xml:space="preserve">Name 2 behaviors that indicate they are dysregulated or identify situations that cause them to be dysregulated.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tl w:val="0"/>
        </w:rPr>
        <w:t xml:space="preserve">Name 2 regulation strategies that they use.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Differentiate reflective supervision from other types of supervision, like administrative supervision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tl w:val="0"/>
        </w:rPr>
        <w:t xml:space="preserve">Name at least 2 behaviors that indicate a caregiver (or child) is triggered or dysregulated.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tl w:val="0"/>
        </w:rPr>
        <w:t xml:space="preserve">Name at least 2 interventions to help caregiver become regulated and/or help child become regulated.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Describe the role of </w:t>
      </w: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Reflective Supervision in preventing secondary traumatic stress.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/>
      </w:pPr>
      <w:r w:rsidDel="00000000" w:rsidR="00000000" w:rsidRPr="00000000">
        <w:rPr>
          <w:rtl w:val="0"/>
        </w:rPr>
        <w:t xml:space="preserve">Name two supervisory skills/practices to promote the s</w:t>
      </w: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upervisee’s adherence to</w:t>
        <w:tab/>
        <w:t xml:space="preserve">emotional process fidelity.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/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Name two supervisory skills/competencies to promote the supervisee’s adherence to reflective  practice fidelity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/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Increase awareness of own personal and socio-cultural biases and values on the supervisor-supervisee relationship/ on supervision 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/>
      </w:pPr>
      <w:r w:rsidDel="00000000" w:rsidR="00000000" w:rsidRPr="00000000">
        <w:rPr>
          <w:rtl w:val="0"/>
        </w:rPr>
        <w:t xml:space="preserve">Name three essential components of reflective CPP supervision.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/>
      </w:pPr>
      <w:r w:rsidDel="00000000" w:rsidR="00000000" w:rsidRPr="00000000">
        <w:rPr>
          <w:rtl w:val="0"/>
        </w:rPr>
        <w:t xml:space="preserve">Describe the way that their agency conducts a CPP assessment.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/>
      </w:pPr>
      <w:r w:rsidDel="00000000" w:rsidR="00000000" w:rsidRPr="00000000">
        <w:rPr>
          <w:rtl w:val="0"/>
        </w:rPr>
        <w:t xml:space="preserve">Describe three components of CPP that they would highlight if they were teaching CPP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u w:val="none"/>
        </w:rPr>
      </w:pPr>
      <w:r w:rsidDel="00000000" w:rsidR="00000000" w:rsidRPr="00000000">
        <w:rPr>
          <w:rtl w:val="0"/>
        </w:rPr>
        <w:t xml:space="preserve">Name at least three components of the CPP termination process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u w:val="none"/>
        </w:rPr>
      </w:pPr>
      <w:r w:rsidDel="00000000" w:rsidR="00000000" w:rsidRPr="00000000">
        <w:rPr>
          <w:rtl w:val="0"/>
        </w:rPr>
        <w:t xml:space="preserve">Name three resources (e.g. books, videos, activities) you use when conducting CPP treatment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50" w:hanging="360"/>
        <w:rPr>
          <w:u w:val="none"/>
        </w:rPr>
      </w:pPr>
      <w:r w:rsidDel="00000000" w:rsidR="00000000" w:rsidRPr="00000000">
        <w:rPr>
          <w:rtl w:val="0"/>
        </w:rPr>
        <w:t xml:space="preserve">Describe two considerations when working with a caregiver that has harmed a child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Raleway" w:cs="Raleway" w:eastAsia="Raleway" w:hAnsi="Raleway"/>
          <w:color w:val="666666"/>
        </w:rPr>
      </w:pPr>
      <w:r w:rsidDel="00000000" w:rsidR="00000000" w:rsidRPr="00000000">
        <w:rPr>
          <w:rFonts w:ascii="Raleway" w:cs="Raleway" w:eastAsia="Raleway" w:hAnsi="Raleway"/>
          <w:color w:val="666666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Fira Mono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aleway" w:cs="Raleway" w:eastAsia="Raleway" w:hAnsi="Raleway"/>
        <w:color w:val="666666"/>
        <w:sz w:val="22"/>
        <w:szCs w:val="22"/>
        <w:lang w:val="en"/>
      </w:rPr>
    </w:rPrDefault>
    <w:pPrDefault>
      <w:pPr>
        <w:spacing w:line="276" w:lineRule="auto"/>
        <w:ind w:left="450" w:hanging="36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rFonts w:ascii="Montserrat" w:cs="Montserrat" w:eastAsia="Montserrat" w:hAnsi="Montserrat"/>
      <w:color w:val="00723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0" Type="http://schemas.openxmlformats.org/officeDocument/2006/relationships/font" Target="fonts/FiraMono-bold.ttf"/><Relationship Id="rId9" Type="http://schemas.openxmlformats.org/officeDocument/2006/relationships/font" Target="fonts/FiraMono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